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90" w:rsidRDefault="001F0F7A" w:rsidP="004E0E61">
      <w:pPr>
        <w:pStyle w:val="Default"/>
        <w:spacing w:after="120" w:line="288" w:lineRule="auto"/>
        <w:jc w:val="center"/>
        <w:rPr>
          <w:rFonts w:ascii="Arial Narrow" w:eastAsia="Arial Narrow" w:hAnsi="Arial Narrow" w:cs="Arial Narrow"/>
          <w:b/>
          <w:bCs/>
          <w:color w:val="3C4245"/>
          <w:sz w:val="32"/>
          <w:szCs w:val="32"/>
        </w:rPr>
      </w:pPr>
      <w:r>
        <w:rPr>
          <w:rFonts w:ascii="Arial Narrow" w:hAnsi="Arial Narrow"/>
          <w:b/>
          <w:bCs/>
          <w:color w:val="3C4245"/>
          <w:sz w:val="32"/>
          <w:szCs w:val="32"/>
        </w:rPr>
        <w:t>“</w:t>
      </w:r>
      <w:r>
        <w:rPr>
          <w:rFonts w:ascii="Arial Narrow" w:hAnsi="Arial Narrow"/>
          <w:b/>
          <w:bCs/>
          <w:color w:val="3C4245"/>
          <w:sz w:val="32"/>
          <w:szCs w:val="32"/>
        </w:rPr>
        <w:t>Pa</w:t>
      </w:r>
      <w:r>
        <w:rPr>
          <w:rFonts w:ascii="Arial Narrow" w:hAnsi="Arial Narrow"/>
          <w:b/>
          <w:bCs/>
          <w:color w:val="3C4245"/>
          <w:sz w:val="32"/>
          <w:szCs w:val="32"/>
        </w:rPr>
        <w:t>ș</w:t>
      </w:r>
      <w:r>
        <w:rPr>
          <w:rFonts w:ascii="Arial Narrow" w:hAnsi="Arial Narrow"/>
          <w:b/>
          <w:bCs/>
          <w:color w:val="3C4245"/>
          <w:sz w:val="32"/>
          <w:szCs w:val="32"/>
        </w:rPr>
        <w:t>apoarte de imunitate</w:t>
      </w:r>
      <w:r>
        <w:rPr>
          <w:rFonts w:ascii="Arial Narrow" w:hAnsi="Arial Narrow"/>
          <w:b/>
          <w:bCs/>
          <w:color w:val="3C4245"/>
          <w:sz w:val="32"/>
          <w:szCs w:val="32"/>
          <w:lang w:val="ru-RU"/>
        </w:rPr>
        <w:t>"</w:t>
      </w:r>
      <w:r>
        <w:rPr>
          <w:rFonts w:ascii="Arial Narrow" w:hAnsi="Arial Narrow"/>
          <w:b/>
          <w:bCs/>
          <w:color w:val="3C4245"/>
          <w:sz w:val="32"/>
          <w:szCs w:val="32"/>
        </w:rPr>
        <w:t>î</w:t>
      </w:r>
      <w:r>
        <w:rPr>
          <w:rFonts w:ascii="Arial Narrow" w:hAnsi="Arial Narrow"/>
          <w:b/>
          <w:bCs/>
          <w:color w:val="3C4245"/>
          <w:sz w:val="32"/>
          <w:szCs w:val="32"/>
        </w:rPr>
        <w:t>n contextul pandemiei de</w:t>
      </w:r>
      <w:r>
        <w:rPr>
          <w:rFonts w:ascii="Arial Narrow" w:hAnsi="Arial Narrow"/>
          <w:b/>
          <w:bCs/>
          <w:color w:val="3C4245"/>
          <w:sz w:val="32"/>
          <w:szCs w:val="32"/>
          <w:lang w:val="da-DK"/>
        </w:rPr>
        <w:t xml:space="preserve"> COVID-19</w:t>
      </w:r>
    </w:p>
    <w:p w:rsidR="00003390" w:rsidRDefault="001F0F7A" w:rsidP="004E0E61">
      <w:pPr>
        <w:pStyle w:val="Default"/>
        <w:spacing w:after="120" w:line="288" w:lineRule="auto"/>
        <w:jc w:val="center"/>
        <w:rPr>
          <w:rFonts w:ascii="Arial Narrow" w:eastAsia="Arial Narrow" w:hAnsi="Arial Narrow" w:cs="Arial Narrow"/>
          <w:b/>
          <w:bCs/>
          <w:color w:val="3C4245"/>
          <w:sz w:val="32"/>
          <w:szCs w:val="32"/>
        </w:rPr>
      </w:pPr>
      <w:r>
        <w:rPr>
          <w:rFonts w:ascii="Arial Narrow" w:hAnsi="Arial Narrow"/>
          <w:b/>
          <w:bCs/>
          <w:color w:val="3C4245"/>
          <w:sz w:val="32"/>
          <w:szCs w:val="32"/>
        </w:rPr>
        <w:t xml:space="preserve">Rezumat </w:t>
      </w:r>
      <w:r>
        <w:rPr>
          <w:rFonts w:ascii="Arial Narrow" w:hAnsi="Arial Narrow"/>
          <w:b/>
          <w:bCs/>
          <w:color w:val="3C4245"/>
          <w:sz w:val="32"/>
          <w:szCs w:val="32"/>
        </w:rPr>
        <w:t>ș</w:t>
      </w:r>
      <w:r>
        <w:rPr>
          <w:rFonts w:ascii="Arial Narrow" w:hAnsi="Arial Narrow"/>
          <w:b/>
          <w:bCs/>
          <w:color w:val="3C4245"/>
          <w:sz w:val="32"/>
          <w:szCs w:val="32"/>
        </w:rPr>
        <w:t>tiin</w:t>
      </w:r>
      <w:r>
        <w:rPr>
          <w:rFonts w:ascii="Arial Narrow" w:hAnsi="Arial Narrow"/>
          <w:b/>
          <w:bCs/>
          <w:color w:val="3C4245"/>
          <w:sz w:val="32"/>
          <w:szCs w:val="32"/>
        </w:rPr>
        <w:t>ț</w:t>
      </w:r>
      <w:r>
        <w:rPr>
          <w:rFonts w:ascii="Arial Narrow" w:hAnsi="Arial Narrow"/>
          <w:b/>
          <w:bCs/>
          <w:color w:val="3C4245"/>
          <w:sz w:val="32"/>
          <w:szCs w:val="32"/>
        </w:rPr>
        <w:t>ific</w:t>
      </w:r>
    </w:p>
    <w:p w:rsidR="00003390" w:rsidRDefault="001F0F7A" w:rsidP="004E0E61">
      <w:pPr>
        <w:pStyle w:val="Default"/>
        <w:jc w:val="both"/>
        <w:rPr>
          <w:rFonts w:ascii="Arial Narrow" w:eastAsia="Arial Narrow" w:hAnsi="Arial Narrow" w:cs="Arial Narrow"/>
          <w:color w:val="6A6A6A"/>
          <w:sz w:val="28"/>
          <w:szCs w:val="28"/>
        </w:rPr>
      </w:pPr>
      <w:r>
        <w:rPr>
          <w:rFonts w:ascii="Arial Narrow" w:hAnsi="Arial Narrow"/>
          <w:color w:val="6A6A6A"/>
          <w:sz w:val="28"/>
          <w:szCs w:val="28"/>
        </w:rPr>
        <w:t>24 aprilie 2020</w:t>
      </w:r>
    </w:p>
    <w:p w:rsidR="00003390" w:rsidRDefault="00003390" w:rsidP="004E0E61">
      <w:pPr>
        <w:pStyle w:val="Default"/>
        <w:spacing w:after="120"/>
        <w:jc w:val="both"/>
        <w:rPr>
          <w:rFonts w:ascii="Arial Narrow" w:eastAsia="Arial Narrow" w:hAnsi="Arial Narrow" w:cs="Arial Narrow"/>
          <w:color w:val="3C4245"/>
          <w:sz w:val="24"/>
          <w:szCs w:val="24"/>
        </w:rPr>
      </w:pPr>
    </w:p>
    <w:p w:rsidR="00003390" w:rsidRDefault="001F0F7A" w:rsidP="004E0E61">
      <w:pPr>
        <w:pStyle w:val="Default"/>
        <w:spacing w:after="120"/>
        <w:jc w:val="both"/>
        <w:rPr>
          <w:rFonts w:ascii="Arial Narrow" w:eastAsia="Arial Narrow" w:hAnsi="Arial Narrow" w:cs="Arial Narrow"/>
          <w:color w:val="3C4245"/>
          <w:sz w:val="24"/>
          <w:szCs w:val="24"/>
        </w:rPr>
      </w:pPr>
      <w:r>
        <w:rPr>
          <w:rFonts w:ascii="Arial Narrow" w:hAnsi="Arial Narrow"/>
          <w:color w:val="3C4245"/>
          <w:sz w:val="24"/>
          <w:szCs w:val="24"/>
        </w:rPr>
        <w:t>OMS a publicat recomand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ri privind adaptarea m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surilor de s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n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tate</w:t>
      </w:r>
      <w:r>
        <w:rPr>
          <w:rFonts w:ascii="Arial Narrow" w:hAnsi="Arial Narrow"/>
          <w:color w:val="3C4245"/>
          <w:sz w:val="24"/>
          <w:szCs w:val="24"/>
          <w:lang w:val="en-US"/>
        </w:rPr>
        <w:t xml:space="preserve"> public</w:t>
      </w:r>
      <w:r>
        <w:rPr>
          <w:rFonts w:ascii="Arial Narrow" w:hAnsi="Arial Narrow"/>
          <w:color w:val="3C4245"/>
          <w:sz w:val="24"/>
          <w:szCs w:val="24"/>
        </w:rPr>
        <w:t>ă ș</w:t>
      </w:r>
      <w:r>
        <w:rPr>
          <w:rFonts w:ascii="Arial Narrow" w:hAnsi="Arial Narrow"/>
          <w:color w:val="3C4245"/>
          <w:sz w:val="24"/>
          <w:szCs w:val="24"/>
        </w:rPr>
        <w:t>i a m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surilor sociale pentru urm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toarea faz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a r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 xml:space="preserve">spunsului la </w:t>
      </w:r>
      <w:r>
        <w:rPr>
          <w:rFonts w:ascii="Arial Narrow" w:hAnsi="Arial Narrow"/>
          <w:color w:val="3C4245"/>
          <w:sz w:val="24"/>
          <w:szCs w:val="24"/>
          <w:lang w:val="da-DK"/>
        </w:rPr>
        <w:t>COVID-19</w:t>
      </w:r>
      <w:r>
        <w:rPr>
          <w:rFonts w:ascii="Arial Narrow" w:hAnsi="Arial Narrow"/>
          <w:color w:val="3C4245"/>
          <w:sz w:val="24"/>
          <w:szCs w:val="24"/>
          <w:vertAlign w:val="superscript"/>
        </w:rPr>
        <w:t>1</w:t>
      </w:r>
      <w:r>
        <w:rPr>
          <w:rFonts w:ascii="Arial Narrow" w:hAnsi="Arial Narrow"/>
          <w:color w:val="3C4245"/>
          <w:sz w:val="24"/>
          <w:szCs w:val="24"/>
        </w:rPr>
        <w:t xml:space="preserve">. Unele </w:t>
      </w:r>
      <w:r>
        <w:rPr>
          <w:rFonts w:ascii="Arial Narrow" w:hAnsi="Arial Narrow"/>
          <w:color w:val="3C4245"/>
          <w:sz w:val="24"/>
          <w:szCs w:val="24"/>
        </w:rPr>
        <w:t>guverne au sugerat c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detectarea anticorpilor la SARS-CoV-2, virusul care provoac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COVID-19, ar putea servi ca baz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 xml:space="preserve">pentru un </w:t>
      </w:r>
      <w:r>
        <w:rPr>
          <w:rFonts w:ascii="Arial Narrow" w:hAnsi="Arial Narrow"/>
          <w:color w:val="3C4245"/>
          <w:sz w:val="24"/>
          <w:szCs w:val="24"/>
        </w:rPr>
        <w:t>„</w:t>
      </w:r>
      <w:r>
        <w:rPr>
          <w:rFonts w:ascii="Arial Narrow" w:hAnsi="Arial Narrow"/>
          <w:color w:val="3C4245"/>
          <w:sz w:val="24"/>
          <w:szCs w:val="24"/>
        </w:rPr>
        <w:t>pa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>aport de imunitate</w:t>
      </w:r>
      <w:r>
        <w:rPr>
          <w:rFonts w:ascii="Arial Narrow" w:hAnsi="Arial Narrow"/>
          <w:color w:val="3C4245"/>
          <w:sz w:val="24"/>
          <w:szCs w:val="24"/>
        </w:rPr>
        <w:t xml:space="preserve">” </w:t>
      </w:r>
      <w:r>
        <w:rPr>
          <w:rFonts w:ascii="Arial Narrow" w:hAnsi="Arial Narrow"/>
          <w:color w:val="3C4245"/>
          <w:sz w:val="24"/>
          <w:szCs w:val="24"/>
        </w:rPr>
        <w:t xml:space="preserve">sau un </w:t>
      </w:r>
      <w:r>
        <w:rPr>
          <w:rFonts w:ascii="Arial Narrow" w:hAnsi="Arial Narrow"/>
          <w:color w:val="3C4245"/>
          <w:sz w:val="24"/>
          <w:szCs w:val="24"/>
        </w:rPr>
        <w:t>„</w:t>
      </w:r>
      <w:r>
        <w:rPr>
          <w:rFonts w:ascii="Arial Narrow" w:hAnsi="Arial Narrow"/>
          <w:color w:val="3C4245"/>
          <w:sz w:val="24"/>
          <w:szCs w:val="24"/>
        </w:rPr>
        <w:t>certificat f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r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riscuri</w:t>
      </w:r>
      <w:r>
        <w:rPr>
          <w:rFonts w:ascii="Arial Narrow" w:hAnsi="Arial Narrow"/>
          <w:color w:val="3C4245"/>
          <w:sz w:val="24"/>
          <w:szCs w:val="24"/>
        </w:rPr>
        <w:t xml:space="preserve">” </w:t>
      </w:r>
      <w:r>
        <w:rPr>
          <w:rFonts w:ascii="Arial Narrow" w:hAnsi="Arial Narrow"/>
          <w:color w:val="3C4245"/>
          <w:sz w:val="24"/>
          <w:szCs w:val="24"/>
        </w:rPr>
        <w:t>care s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  <w:lang w:val="pt-PT"/>
        </w:rPr>
        <w:t xml:space="preserve"> permit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 xml:space="preserve"> persoanelor fizice s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c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l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toreasc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sau s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revin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la servi</w:t>
      </w:r>
      <w:r>
        <w:rPr>
          <w:rFonts w:ascii="Arial Narrow" w:hAnsi="Arial Narrow"/>
          <w:color w:val="3C4245"/>
          <w:sz w:val="24"/>
          <w:szCs w:val="24"/>
        </w:rPr>
        <w:t>ciu, presupun</w:t>
      </w:r>
      <w:r>
        <w:rPr>
          <w:rFonts w:ascii="Arial Narrow" w:hAnsi="Arial Narrow"/>
          <w:color w:val="3C4245"/>
          <w:sz w:val="24"/>
          <w:szCs w:val="24"/>
        </w:rPr>
        <w:t>â</w:t>
      </w:r>
      <w:r>
        <w:rPr>
          <w:rFonts w:ascii="Arial Narrow" w:hAnsi="Arial Narrow"/>
          <w:color w:val="3C4245"/>
          <w:sz w:val="24"/>
          <w:szCs w:val="24"/>
          <w:lang w:val="en-US"/>
        </w:rPr>
        <w:t>nd c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 xml:space="preserve">sunt protejate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>mpotriva reinfect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 xml:space="preserve">rii.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>n prezent, nu exist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dovezi c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persoanele care s-au vindecat</w:t>
      </w:r>
      <w:r>
        <w:rPr>
          <w:rFonts w:ascii="Arial Narrow" w:hAnsi="Arial Narrow"/>
          <w:color w:val="3C4245"/>
          <w:sz w:val="24"/>
          <w:szCs w:val="24"/>
          <w:lang w:val="nl-NL"/>
        </w:rPr>
        <w:t xml:space="preserve"> de COVID-19 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>i au anticorpi sunt protejate de o a doua infec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>ie.</w:t>
      </w:r>
    </w:p>
    <w:p w:rsidR="00003390" w:rsidRDefault="001F0F7A" w:rsidP="004E0E61">
      <w:pPr>
        <w:pStyle w:val="Default"/>
        <w:spacing w:after="120"/>
        <w:jc w:val="both"/>
        <w:rPr>
          <w:rFonts w:ascii="Arial Narrow" w:eastAsia="Arial Narrow" w:hAnsi="Arial Narrow" w:cs="Arial Narrow"/>
          <w:color w:val="3C4245"/>
          <w:sz w:val="24"/>
          <w:szCs w:val="24"/>
        </w:rPr>
      </w:pPr>
      <w:r>
        <w:rPr>
          <w:rFonts w:ascii="Arial Narrow" w:hAnsi="Arial Narrow"/>
          <w:b/>
          <w:bCs/>
          <w:color w:val="3C4245"/>
          <w:sz w:val="24"/>
          <w:szCs w:val="24"/>
        </w:rPr>
        <w:t>M</w:t>
      </w:r>
      <w:r>
        <w:rPr>
          <w:rFonts w:ascii="Arial Narrow" w:hAnsi="Arial Narrow"/>
          <w:b/>
          <w:bCs/>
          <w:color w:val="3C4245"/>
          <w:sz w:val="24"/>
          <w:szCs w:val="24"/>
        </w:rPr>
        <w:t>ă</w:t>
      </w:r>
      <w:r>
        <w:rPr>
          <w:rFonts w:ascii="Arial Narrow" w:hAnsi="Arial Narrow"/>
          <w:b/>
          <w:bCs/>
          <w:color w:val="3C4245"/>
          <w:sz w:val="24"/>
          <w:szCs w:val="24"/>
        </w:rPr>
        <w:t>surarea anticorpilor specifici pentru</w:t>
      </w:r>
      <w:r>
        <w:rPr>
          <w:rFonts w:ascii="Arial Narrow" w:hAnsi="Arial Narrow"/>
          <w:b/>
          <w:bCs/>
          <w:color w:val="3C4245"/>
          <w:sz w:val="24"/>
          <w:szCs w:val="24"/>
          <w:lang w:val="da-DK"/>
        </w:rPr>
        <w:t xml:space="preserve"> COVID-19</w:t>
      </w:r>
    </w:p>
    <w:p w:rsidR="00003390" w:rsidRDefault="001F0F7A" w:rsidP="004E0E61">
      <w:pPr>
        <w:pStyle w:val="Default"/>
        <w:spacing w:after="120"/>
        <w:jc w:val="both"/>
        <w:rPr>
          <w:rFonts w:ascii="Arial Narrow" w:eastAsia="Arial Narrow" w:hAnsi="Arial Narrow" w:cs="Arial Narrow"/>
          <w:color w:val="3C4245"/>
          <w:sz w:val="24"/>
          <w:szCs w:val="24"/>
        </w:rPr>
      </w:pPr>
      <w:r>
        <w:rPr>
          <w:rFonts w:ascii="Arial Narrow" w:hAnsi="Arial Narrow"/>
          <w:color w:val="3C4245"/>
          <w:sz w:val="24"/>
          <w:szCs w:val="24"/>
        </w:rPr>
        <w:t>Dezvoltarea imunit</w:t>
      </w:r>
      <w:r>
        <w:rPr>
          <w:rFonts w:ascii="Arial Narrow" w:hAnsi="Arial Narrow"/>
          <w:color w:val="3C4245"/>
          <w:sz w:val="24"/>
          <w:szCs w:val="24"/>
        </w:rPr>
        <w:t>ăț</w:t>
      </w:r>
      <w:r>
        <w:rPr>
          <w:rFonts w:ascii="Arial Narrow" w:hAnsi="Arial Narrow"/>
          <w:color w:val="3C4245"/>
          <w:sz w:val="24"/>
          <w:szCs w:val="24"/>
        </w:rPr>
        <w:t>ii la un agent patogen prin infec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>ie natural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lang w:val="fr-FR"/>
        </w:rPr>
        <w:t xml:space="preserve">este un proces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>n mai multe etape, care are loc de obicei pe o perioad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de 1-2 s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pt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m</w:t>
      </w:r>
      <w:r>
        <w:rPr>
          <w:rFonts w:ascii="Arial Narrow" w:hAnsi="Arial Narrow"/>
          <w:color w:val="3C4245"/>
          <w:sz w:val="24"/>
          <w:szCs w:val="24"/>
        </w:rPr>
        <w:t>â</w:t>
      </w:r>
      <w:r>
        <w:rPr>
          <w:rFonts w:ascii="Arial Narrow" w:hAnsi="Arial Narrow"/>
          <w:color w:val="3C4245"/>
          <w:sz w:val="24"/>
          <w:szCs w:val="24"/>
        </w:rPr>
        <w:t>ni. Organismul reac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>ioneaz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 xml:space="preserve"> imediat la o infec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>ie viral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cu un r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 xml:space="preserve">spuns automat nespecific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 xml:space="preserve">n care macrofagele, neutrofilele 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 xml:space="preserve">i celulele dendritice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 xml:space="preserve">ncetinesc progresul virusului 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 xml:space="preserve">i chiar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 xml:space="preserve">l pot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  <w:lang w:val="it-IT"/>
        </w:rPr>
        <w:t>mpiedica s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produc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simptome. Acest r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spuns nespecific este urmat de un r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spuns adaptativ</w:t>
      </w:r>
      <w:r>
        <w:rPr>
          <w:rFonts w:ascii="Arial Narrow" w:hAnsi="Arial Narrow"/>
          <w:color w:val="3C4245"/>
          <w:sz w:val="24"/>
          <w:szCs w:val="24"/>
        </w:rPr>
        <w:t xml:space="preserve"> î</w:t>
      </w:r>
      <w:r>
        <w:rPr>
          <w:rFonts w:ascii="Arial Narrow" w:hAnsi="Arial Narrow"/>
          <w:color w:val="3C4245"/>
          <w:sz w:val="24"/>
          <w:szCs w:val="24"/>
        </w:rPr>
        <w:t>n care organismul face anticorpi care se leag</w:t>
      </w:r>
      <w:r>
        <w:rPr>
          <w:rFonts w:ascii="Arial Narrow" w:hAnsi="Arial Narrow"/>
          <w:color w:val="3C4245"/>
          <w:sz w:val="24"/>
          <w:szCs w:val="24"/>
        </w:rPr>
        <w:t>ă î</w:t>
      </w:r>
      <w:r>
        <w:rPr>
          <w:rFonts w:ascii="Arial Narrow" w:hAnsi="Arial Narrow"/>
          <w:color w:val="3C4245"/>
          <w:sz w:val="24"/>
          <w:szCs w:val="24"/>
        </w:rPr>
        <w:t>n mod specific la virus. Ace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 xml:space="preserve">ti anticorpi sunt proteine </w:t>
      </w:r>
      <w:r>
        <w:rPr>
          <w:rFonts w:ascii="Arial Unicode MS" w:hAnsi="Arial Unicode MS"/>
          <w:color w:val="3C4245"/>
          <w:sz w:val="24"/>
          <w:szCs w:val="24"/>
          <w:lang w:val="es-ES_tradnl"/>
        </w:rPr>
        <w:t>​​</w:t>
      </w:r>
      <w:r>
        <w:rPr>
          <w:rFonts w:ascii="Arial Narrow" w:hAnsi="Arial Narrow"/>
          <w:color w:val="3C4245"/>
          <w:sz w:val="24"/>
          <w:szCs w:val="24"/>
        </w:rPr>
        <w:t xml:space="preserve">numite imunoglobuline. De asemenea, corpul produce celule T care recunosc 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  <w:lang w:val="es-ES_tradnl"/>
        </w:rPr>
        <w:t>i elimin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alte celule infectate cu virusul respectiv. Aceasta se nume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>te imunitate celular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. Acest r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 xml:space="preserve">spuns adaptativ combinat poate 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>terge virusul din o</w:t>
      </w:r>
      <w:r>
        <w:rPr>
          <w:rFonts w:ascii="Arial Narrow" w:hAnsi="Arial Narrow"/>
          <w:color w:val="3C4245"/>
          <w:sz w:val="24"/>
          <w:szCs w:val="24"/>
        </w:rPr>
        <w:t xml:space="preserve">rganism 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>i, dac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r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 xml:space="preserve">spunsul este suficient de puternic, poate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  <w:lang w:val="it-IT"/>
        </w:rPr>
        <w:t>mpiedica evolu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  <w:lang w:val="it-IT"/>
        </w:rPr>
        <w:t>ia c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tre boli severe sau re-infec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>ia cu acela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>i virus. Acest proces este adesea m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surat prin prezen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 xml:space="preserve">a anticorpilor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>n s</w:t>
      </w:r>
      <w:r>
        <w:rPr>
          <w:rFonts w:ascii="Arial Narrow" w:hAnsi="Arial Narrow"/>
          <w:color w:val="3C4245"/>
          <w:sz w:val="24"/>
          <w:szCs w:val="24"/>
        </w:rPr>
        <w:t>â</w:t>
      </w:r>
      <w:r>
        <w:rPr>
          <w:rFonts w:ascii="Arial Narrow" w:hAnsi="Arial Narrow"/>
          <w:color w:val="3C4245"/>
          <w:sz w:val="24"/>
          <w:szCs w:val="24"/>
        </w:rPr>
        <w:t>nge.</w:t>
      </w:r>
    </w:p>
    <w:p w:rsidR="00003390" w:rsidRDefault="001F0F7A" w:rsidP="004E0E61">
      <w:pPr>
        <w:pStyle w:val="Default"/>
        <w:spacing w:after="120"/>
        <w:jc w:val="both"/>
        <w:rPr>
          <w:rFonts w:ascii="Arial Narrow" w:eastAsia="Arial Narrow" w:hAnsi="Arial Narrow" w:cs="Arial Narrow"/>
          <w:color w:val="3C4245"/>
          <w:sz w:val="24"/>
          <w:szCs w:val="24"/>
        </w:rPr>
      </w:pPr>
      <w:r>
        <w:rPr>
          <w:rFonts w:ascii="Arial Narrow" w:hAnsi="Arial Narrow"/>
          <w:color w:val="3C4245"/>
          <w:sz w:val="24"/>
          <w:szCs w:val="24"/>
          <w:lang w:val="pt-PT"/>
        </w:rPr>
        <w:t>OMS continu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s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examineze dovezile cu privire la r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spunsurile anticorpilor</w:t>
      </w:r>
      <w:r>
        <w:rPr>
          <w:rFonts w:ascii="Arial Narrow" w:hAnsi="Arial Narrow"/>
          <w:color w:val="3C4245"/>
          <w:sz w:val="24"/>
          <w:szCs w:val="24"/>
          <w:lang w:val="es-ES_tradnl"/>
        </w:rPr>
        <w:t xml:space="preserve"> la infec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>ia cu SARS-CoV-2.</w:t>
      </w:r>
      <w:r>
        <w:rPr>
          <w:rFonts w:ascii="Arial Narrow" w:hAnsi="Arial Narrow"/>
          <w:color w:val="3C4245"/>
          <w:sz w:val="24"/>
          <w:szCs w:val="24"/>
          <w:vertAlign w:val="superscript"/>
        </w:rPr>
        <w:t>2-17</w:t>
      </w:r>
      <w:r>
        <w:rPr>
          <w:rFonts w:ascii="Arial Narrow" w:hAnsi="Arial Narrow"/>
          <w:color w:val="3C4245"/>
          <w:sz w:val="24"/>
          <w:szCs w:val="24"/>
        </w:rPr>
        <w:t>Majoritatea acestor studii arat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c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persoanele care s-au recuperat de la infec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 xml:space="preserve">ie au anticorpi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>mpotriva virusului. Totu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>i, unele dintre aceste persoane au niveluri foarte mici de anticorpi de neutraliz</w:t>
      </w:r>
      <w:r>
        <w:rPr>
          <w:rFonts w:ascii="Arial Narrow" w:hAnsi="Arial Narrow"/>
          <w:color w:val="3C4245"/>
          <w:sz w:val="24"/>
          <w:szCs w:val="24"/>
        </w:rPr>
        <w:t xml:space="preserve">are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>n s</w:t>
      </w:r>
      <w:r>
        <w:rPr>
          <w:rFonts w:ascii="Arial Narrow" w:hAnsi="Arial Narrow"/>
          <w:color w:val="3C4245"/>
          <w:sz w:val="24"/>
          <w:szCs w:val="24"/>
        </w:rPr>
        <w:t>â</w:t>
      </w:r>
      <w:r>
        <w:rPr>
          <w:rFonts w:ascii="Arial Narrow" w:hAnsi="Arial Narrow"/>
          <w:color w:val="3C4245"/>
          <w:sz w:val="24"/>
          <w:szCs w:val="24"/>
          <w:lang w:val="de-DE"/>
        </w:rPr>
        <w:t>nge</w:t>
      </w:r>
      <w:r>
        <w:rPr>
          <w:rFonts w:ascii="Arial Narrow" w:hAnsi="Arial Narrow"/>
          <w:color w:val="3C4245"/>
          <w:sz w:val="24"/>
          <w:szCs w:val="24"/>
          <w:vertAlign w:val="superscript"/>
        </w:rPr>
        <w:t>4</w:t>
      </w:r>
      <w:r>
        <w:rPr>
          <w:rFonts w:ascii="Arial Narrow" w:hAnsi="Arial Narrow"/>
          <w:color w:val="3C4245"/>
          <w:sz w:val="24"/>
          <w:szCs w:val="24"/>
        </w:rPr>
        <w:t>,  suger</w:t>
      </w:r>
      <w:r>
        <w:rPr>
          <w:rFonts w:ascii="Arial Narrow" w:hAnsi="Arial Narrow"/>
          <w:color w:val="3C4245"/>
          <w:sz w:val="24"/>
          <w:szCs w:val="24"/>
        </w:rPr>
        <w:t>â</w:t>
      </w:r>
      <w:r>
        <w:rPr>
          <w:rFonts w:ascii="Arial Narrow" w:hAnsi="Arial Narrow"/>
          <w:color w:val="3C4245"/>
          <w:sz w:val="24"/>
          <w:szCs w:val="24"/>
          <w:lang w:val="en-US"/>
        </w:rPr>
        <w:t>nd c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imunitatea celular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poate fi, de asemenea, critic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 xml:space="preserve">pentru recuperare.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>ncep</w:t>
      </w:r>
      <w:r>
        <w:rPr>
          <w:rFonts w:ascii="Arial Narrow" w:hAnsi="Arial Narrow"/>
          <w:color w:val="3C4245"/>
          <w:sz w:val="24"/>
          <w:szCs w:val="24"/>
        </w:rPr>
        <w:t>â</w:t>
      </w:r>
      <w:r>
        <w:rPr>
          <w:rFonts w:ascii="Arial Narrow" w:hAnsi="Arial Narrow"/>
          <w:color w:val="3C4245"/>
          <w:sz w:val="24"/>
          <w:szCs w:val="24"/>
        </w:rPr>
        <w:t>nd cu 24 aprilie 2020, niciun studiu nu a evaluat dac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prezen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 xml:space="preserve">a anticorpilor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>mpotriva SARS-CoV-2 confer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imunitate la infec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>iile ulterioare cu</w:t>
      </w:r>
      <w:r>
        <w:rPr>
          <w:rFonts w:ascii="Arial Narrow" w:hAnsi="Arial Narrow"/>
          <w:color w:val="3C4245"/>
          <w:sz w:val="24"/>
          <w:szCs w:val="24"/>
        </w:rPr>
        <w:t xml:space="preserve"> acestui virus la om.</w:t>
      </w:r>
    </w:p>
    <w:p w:rsidR="00003390" w:rsidRDefault="001F0F7A" w:rsidP="004E0E61">
      <w:pPr>
        <w:pStyle w:val="Default"/>
        <w:spacing w:after="120"/>
        <w:jc w:val="both"/>
        <w:rPr>
          <w:rFonts w:ascii="Arial Narrow" w:eastAsia="Arial Narrow" w:hAnsi="Arial Narrow" w:cs="Arial Narrow"/>
          <w:color w:val="3C4245"/>
          <w:sz w:val="24"/>
          <w:szCs w:val="24"/>
        </w:rPr>
      </w:pPr>
      <w:r>
        <w:rPr>
          <w:rFonts w:ascii="Arial Narrow" w:hAnsi="Arial Narrow"/>
          <w:color w:val="3C4245"/>
          <w:sz w:val="24"/>
          <w:szCs w:val="24"/>
        </w:rPr>
        <w:t>Testele de laborator care detecteaz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lang w:val="it-IT"/>
        </w:rPr>
        <w:t xml:space="preserve">anticorpi </w:t>
      </w:r>
      <w:r>
        <w:rPr>
          <w:rFonts w:ascii="Arial Narrow" w:hAnsi="Arial Narrow"/>
          <w:color w:val="3C4245"/>
          <w:sz w:val="24"/>
          <w:szCs w:val="24"/>
        </w:rPr>
        <w:t>de SARS-CoV-2 la oameni, inclusiv teste imunodiagnostice rapide, au nevoie de validare suplimentar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 xml:space="preserve">pentru a determina exactitatea 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>i fiabilitatea acestora. Testele imunodiagnostice inexa</w:t>
      </w:r>
      <w:r>
        <w:rPr>
          <w:rFonts w:ascii="Arial Narrow" w:hAnsi="Arial Narrow"/>
          <w:color w:val="3C4245"/>
          <w:sz w:val="24"/>
          <w:szCs w:val="24"/>
        </w:rPr>
        <w:t xml:space="preserve">cte pot clasifica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 xml:space="preserve">n mod fals oamenii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>n dou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moduri. Primul este c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 xml:space="preserve">pot eticheta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>n mod fals persoanele care au fost infectate ca fiind negative, iar al doilea este c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 xml:space="preserve">persoanele care nu au fost infectate sunt etichetate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>n mod fals ca fiind pozitive. Amb</w:t>
      </w:r>
      <w:r>
        <w:rPr>
          <w:rFonts w:ascii="Arial Narrow" w:hAnsi="Arial Narrow"/>
          <w:color w:val="3C4245"/>
          <w:sz w:val="24"/>
          <w:szCs w:val="24"/>
        </w:rPr>
        <w:t>ele erori au consecin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 xml:space="preserve">e grave 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>i vor afecta eforturile de control. Aceste teste trebuie, de asemenea, s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lang w:val="en-US"/>
        </w:rPr>
        <w:t>disting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 xml:space="preserve">cu exactitate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>ntre infec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 xml:space="preserve">iile anterioare de SARS-CoV-2 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 xml:space="preserve">i cele cauzate de setul cunoscut de 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>ase coronavirusuri umane. Patru dintre acestevir</w:t>
      </w:r>
      <w:r>
        <w:rPr>
          <w:rFonts w:ascii="Arial Narrow" w:hAnsi="Arial Narrow"/>
          <w:color w:val="3C4245"/>
          <w:sz w:val="24"/>
          <w:szCs w:val="24"/>
        </w:rPr>
        <w:t>usuri</w:t>
      </w:r>
      <w:r>
        <w:rPr>
          <w:rFonts w:ascii="Arial Narrow" w:hAnsi="Arial Narrow"/>
          <w:color w:val="3C4245"/>
          <w:sz w:val="24"/>
          <w:szCs w:val="24"/>
          <w:lang w:val="pt-PT"/>
        </w:rPr>
        <w:t xml:space="preserve"> provoac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r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  <w:lang w:val="it-IT"/>
        </w:rPr>
        <w:t>ceala comun</w:t>
      </w:r>
      <w:r>
        <w:rPr>
          <w:rFonts w:ascii="Arial Narrow" w:hAnsi="Arial Narrow"/>
          <w:color w:val="3C4245"/>
          <w:sz w:val="24"/>
          <w:szCs w:val="24"/>
        </w:rPr>
        <w:t>ă ș</w:t>
      </w:r>
      <w:r>
        <w:rPr>
          <w:rFonts w:ascii="Arial Narrow" w:hAnsi="Arial Narrow"/>
          <w:color w:val="3C4245"/>
          <w:sz w:val="24"/>
          <w:szCs w:val="24"/>
          <w:lang w:val="it-IT"/>
        </w:rPr>
        <w:t>i circul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lang w:val="it-IT"/>
        </w:rPr>
        <w:t>pe scar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lang w:val="es-ES_tradnl"/>
        </w:rPr>
        <w:t>larg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. Celelalte dou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 xml:space="preserve"> sunt virusurile care provoac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 xml:space="preserve">sindromul respirator din Orientul Mijlociu 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>i sindromul respirator acut sever. Persoanele infectate cu oricare dintre ace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 xml:space="preserve">ti virusuri pot produce </w:t>
      </w:r>
      <w:r>
        <w:rPr>
          <w:rFonts w:ascii="Arial Narrow" w:hAnsi="Arial Narrow"/>
          <w:color w:val="3C4245"/>
          <w:sz w:val="24"/>
          <w:szCs w:val="24"/>
        </w:rPr>
        <w:t>anticorpi care reac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>ioneaz</w:t>
      </w:r>
      <w:r>
        <w:rPr>
          <w:rFonts w:ascii="Arial Narrow" w:hAnsi="Arial Narrow"/>
          <w:color w:val="3C4245"/>
          <w:sz w:val="24"/>
          <w:szCs w:val="24"/>
        </w:rPr>
        <w:t>ă î</w:t>
      </w:r>
      <w:r>
        <w:rPr>
          <w:rFonts w:ascii="Arial Narrow" w:hAnsi="Arial Narrow"/>
          <w:color w:val="3C4245"/>
          <w:sz w:val="24"/>
          <w:szCs w:val="24"/>
          <w:lang w:val="it-IT"/>
        </w:rPr>
        <w:t>ncruci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>at cu anticorpi produ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>i ca r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spuns la infec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>ia cu SARS-CoV-2.</w:t>
      </w:r>
    </w:p>
    <w:p w:rsidR="00003390" w:rsidRDefault="001F0F7A" w:rsidP="004E0E61">
      <w:pPr>
        <w:pStyle w:val="Default"/>
        <w:spacing w:after="120"/>
        <w:jc w:val="both"/>
        <w:rPr>
          <w:rFonts w:ascii="Arial Narrow" w:eastAsia="Arial Narrow" w:hAnsi="Arial Narrow" w:cs="Arial Narrow"/>
          <w:color w:val="3C4245"/>
          <w:sz w:val="24"/>
          <w:szCs w:val="24"/>
        </w:rPr>
      </w:pPr>
      <w:r>
        <w:rPr>
          <w:rFonts w:ascii="Arial Narrow" w:hAnsi="Arial Narrow"/>
          <w:color w:val="3C4245"/>
          <w:sz w:val="24"/>
          <w:szCs w:val="24"/>
        </w:rPr>
        <w:t xml:space="preserve">Multe 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ri testeaz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acum anticorpi SARS-CoV-2 la nivel de popula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  <w:lang w:val="de-DE"/>
        </w:rPr>
        <w:t xml:space="preserve">ie </w:t>
      </w:r>
      <w:r>
        <w:rPr>
          <w:rFonts w:ascii="Arial Narrow" w:hAnsi="Arial Narrow"/>
          <w:color w:val="3C4245"/>
          <w:sz w:val="24"/>
          <w:szCs w:val="24"/>
        </w:rPr>
        <w:t>general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 xml:space="preserve">sau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>n grupuri specifice, cum ar fi personalul medical, contac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>iale cazurilor cun</w:t>
      </w:r>
      <w:r>
        <w:rPr>
          <w:rFonts w:ascii="Arial Narrow" w:hAnsi="Arial Narrow"/>
          <w:color w:val="3C4245"/>
          <w:sz w:val="24"/>
          <w:szCs w:val="24"/>
        </w:rPr>
        <w:t xml:space="preserve">oscute sau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>n gospod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rii.</w:t>
      </w:r>
      <w:r>
        <w:rPr>
          <w:rFonts w:ascii="Arial Narrow" w:hAnsi="Arial Narrow"/>
          <w:color w:val="3C4245"/>
          <w:sz w:val="24"/>
          <w:szCs w:val="24"/>
          <w:vertAlign w:val="superscript"/>
        </w:rPr>
        <w:t>21</w:t>
      </w:r>
      <w:r>
        <w:rPr>
          <w:rFonts w:ascii="Arial Narrow" w:hAnsi="Arial Narrow"/>
          <w:color w:val="3C4245"/>
          <w:sz w:val="24"/>
          <w:szCs w:val="24"/>
        </w:rPr>
        <w:t>OMSsprijin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 xml:space="preserve">aceste studii,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>ntruc</w:t>
      </w:r>
      <w:r>
        <w:rPr>
          <w:rFonts w:ascii="Arial Narrow" w:hAnsi="Arial Narrow"/>
          <w:color w:val="3C4245"/>
          <w:sz w:val="24"/>
          <w:szCs w:val="24"/>
        </w:rPr>
        <w:t>â</w:t>
      </w:r>
      <w:r>
        <w:rPr>
          <w:rFonts w:ascii="Arial Narrow" w:hAnsi="Arial Narrow"/>
          <w:color w:val="3C4245"/>
          <w:sz w:val="24"/>
          <w:szCs w:val="24"/>
        </w:rPr>
        <w:t xml:space="preserve">t sunt critice pentru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>n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>elegerea r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sp</w:t>
      </w:r>
      <w:r>
        <w:rPr>
          <w:rFonts w:ascii="Arial Narrow" w:hAnsi="Arial Narrow"/>
          <w:color w:val="3C4245"/>
          <w:sz w:val="24"/>
          <w:szCs w:val="24"/>
        </w:rPr>
        <w:t>â</w:t>
      </w:r>
      <w:r>
        <w:rPr>
          <w:rFonts w:ascii="Arial Narrow" w:hAnsi="Arial Narrow"/>
          <w:color w:val="3C4245"/>
          <w:sz w:val="24"/>
          <w:szCs w:val="24"/>
        </w:rPr>
        <w:t xml:space="preserve">ndirii </w:t>
      </w:r>
      <w:r>
        <w:rPr>
          <w:rFonts w:ascii="Arial Narrow" w:hAnsi="Arial Narrow"/>
          <w:color w:val="3C4245"/>
          <w:sz w:val="24"/>
          <w:szCs w:val="24"/>
          <w:lang w:val="ru-RU"/>
        </w:rPr>
        <w:t xml:space="preserve">- 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>i a factorilor de risc asocia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>i cu infec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 xml:space="preserve">ia. Aceste studii vor furniza date despre procentul de persoane cu anticorpi COVID-19 detectabili, dar </w:t>
      </w:r>
      <w:r>
        <w:rPr>
          <w:rFonts w:ascii="Arial Narrow" w:hAnsi="Arial Narrow"/>
          <w:color w:val="3C4245"/>
          <w:sz w:val="24"/>
          <w:szCs w:val="24"/>
        </w:rPr>
        <w:t>majoritatea nu sunt concepute pentru a determina dac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acele persoane sunt imune la infec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>ii secundare.</w:t>
      </w:r>
    </w:p>
    <w:p w:rsidR="00003390" w:rsidRDefault="001F0F7A" w:rsidP="004E0E61">
      <w:pPr>
        <w:pStyle w:val="Default"/>
        <w:spacing w:after="120"/>
        <w:jc w:val="both"/>
        <w:rPr>
          <w:rFonts w:ascii="Arial Narrow" w:eastAsia="Arial Narrow" w:hAnsi="Arial Narrow" w:cs="Arial Narrow"/>
          <w:color w:val="3C4245"/>
          <w:sz w:val="24"/>
          <w:szCs w:val="24"/>
        </w:rPr>
      </w:pPr>
      <w:r>
        <w:rPr>
          <w:rFonts w:ascii="Arial Narrow" w:hAnsi="Arial Narrow"/>
          <w:b/>
          <w:bCs/>
          <w:color w:val="3C4245"/>
          <w:sz w:val="24"/>
          <w:szCs w:val="24"/>
        </w:rPr>
        <w:t>Alte aspecte</w:t>
      </w:r>
    </w:p>
    <w:p w:rsidR="00003390" w:rsidRDefault="001F0F7A" w:rsidP="004E0E61">
      <w:pPr>
        <w:pStyle w:val="Default"/>
        <w:spacing w:after="120"/>
        <w:jc w:val="both"/>
        <w:rPr>
          <w:rFonts w:ascii="Arial Narrow" w:eastAsia="Arial Narrow" w:hAnsi="Arial Narrow" w:cs="Arial Narrow"/>
          <w:color w:val="3C4245"/>
          <w:sz w:val="24"/>
          <w:szCs w:val="24"/>
        </w:rPr>
      </w:pP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>n acest moment al pandemiei, nu exist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suficiente dovezi cu privire la eficacitatea imunit</w:t>
      </w:r>
      <w:r>
        <w:rPr>
          <w:rFonts w:ascii="Arial Narrow" w:hAnsi="Arial Narrow"/>
          <w:color w:val="3C4245"/>
          <w:sz w:val="24"/>
          <w:szCs w:val="24"/>
        </w:rPr>
        <w:t>ăț</w:t>
      </w:r>
      <w:r>
        <w:rPr>
          <w:rFonts w:ascii="Arial Narrow" w:hAnsi="Arial Narrow"/>
          <w:color w:val="3C4245"/>
          <w:sz w:val="24"/>
          <w:szCs w:val="24"/>
        </w:rPr>
        <w:t>ii mediate de anticorpi pentru a garanta exacti</w:t>
      </w:r>
      <w:r>
        <w:rPr>
          <w:rFonts w:ascii="Arial Narrow" w:hAnsi="Arial Narrow"/>
          <w:color w:val="3C4245"/>
          <w:sz w:val="24"/>
          <w:szCs w:val="24"/>
        </w:rPr>
        <w:t xml:space="preserve">tatea unui </w:t>
      </w:r>
      <w:r>
        <w:rPr>
          <w:rFonts w:ascii="Arial Narrow" w:hAnsi="Arial Narrow"/>
          <w:color w:val="3C4245"/>
          <w:sz w:val="24"/>
          <w:szCs w:val="24"/>
        </w:rPr>
        <w:t>„</w:t>
      </w:r>
      <w:r>
        <w:rPr>
          <w:rFonts w:ascii="Arial Narrow" w:hAnsi="Arial Narrow"/>
          <w:color w:val="3C4245"/>
          <w:sz w:val="24"/>
          <w:szCs w:val="24"/>
        </w:rPr>
        <w:t>pa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>aport de imunitate</w:t>
      </w:r>
      <w:r>
        <w:rPr>
          <w:rFonts w:ascii="Arial Narrow" w:hAnsi="Arial Narrow"/>
          <w:color w:val="3C4245"/>
          <w:sz w:val="24"/>
          <w:szCs w:val="24"/>
        </w:rPr>
        <w:t xml:space="preserve">” </w:t>
      </w:r>
      <w:r>
        <w:rPr>
          <w:rFonts w:ascii="Arial Narrow" w:hAnsi="Arial Narrow"/>
          <w:color w:val="3C4245"/>
          <w:sz w:val="24"/>
          <w:szCs w:val="24"/>
        </w:rPr>
        <w:t xml:space="preserve">sau a unui </w:t>
      </w:r>
      <w:r>
        <w:rPr>
          <w:rFonts w:ascii="Arial Narrow" w:hAnsi="Arial Narrow"/>
          <w:color w:val="3C4245"/>
          <w:sz w:val="24"/>
          <w:szCs w:val="24"/>
        </w:rPr>
        <w:t>„</w:t>
      </w:r>
      <w:r>
        <w:rPr>
          <w:rFonts w:ascii="Arial Narrow" w:hAnsi="Arial Narrow"/>
          <w:color w:val="3C4245"/>
          <w:sz w:val="24"/>
          <w:szCs w:val="24"/>
        </w:rPr>
        <w:t>certificat f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r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riscuri</w:t>
      </w:r>
      <w:r>
        <w:rPr>
          <w:rFonts w:ascii="Arial Narrow" w:hAnsi="Arial Narrow"/>
          <w:color w:val="3C4245"/>
          <w:sz w:val="24"/>
          <w:szCs w:val="24"/>
        </w:rPr>
        <w:t>”</w:t>
      </w:r>
      <w:r>
        <w:rPr>
          <w:rFonts w:ascii="Arial Narrow" w:hAnsi="Arial Narrow"/>
          <w:color w:val="3C4245"/>
          <w:sz w:val="24"/>
          <w:szCs w:val="24"/>
        </w:rPr>
        <w:t>. Persoanele care cred c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sunt imune la o a doua infec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>ie, deoarece au un rezultat pozitiv latestare, pot ignora recomand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rile</w:t>
      </w:r>
      <w:r>
        <w:rPr>
          <w:rFonts w:ascii="Arial Narrow" w:hAnsi="Arial Narrow"/>
          <w:color w:val="3C4245"/>
          <w:sz w:val="24"/>
          <w:szCs w:val="24"/>
          <w:lang w:val="fr-FR"/>
        </w:rPr>
        <w:t xml:space="preserve"> de s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n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tate public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. Prin urmare, utilizarea acestor certi</w:t>
      </w:r>
      <w:r>
        <w:rPr>
          <w:rFonts w:ascii="Arial Narrow" w:hAnsi="Arial Narrow"/>
          <w:color w:val="3C4245"/>
          <w:sz w:val="24"/>
          <w:szCs w:val="24"/>
        </w:rPr>
        <w:t>ficate poate cre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>te riscurile de transmitere continu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. Pe m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  <w:lang w:val="fr-FR"/>
        </w:rPr>
        <w:t>sur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 xml:space="preserve">ce apar noi dovezi, OMS va actualiza acest document 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>tiin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>ific.</w:t>
      </w:r>
    </w:p>
    <w:p w:rsidR="00003390" w:rsidRDefault="00003390" w:rsidP="004E0E61">
      <w:pPr>
        <w:pStyle w:val="Default"/>
        <w:spacing w:after="120"/>
        <w:jc w:val="both"/>
        <w:rPr>
          <w:rFonts w:ascii="Arial Narrow" w:eastAsia="Arial Narrow" w:hAnsi="Arial Narrow" w:cs="Arial Narrow"/>
          <w:color w:val="3C4245"/>
          <w:sz w:val="24"/>
          <w:szCs w:val="24"/>
        </w:rPr>
      </w:pPr>
    </w:p>
    <w:p w:rsidR="00003390" w:rsidRDefault="001F0F7A" w:rsidP="004E0E61">
      <w:pPr>
        <w:pStyle w:val="Default"/>
        <w:spacing w:after="120"/>
        <w:jc w:val="both"/>
        <w:rPr>
          <w:rFonts w:ascii="Arial Narrow" w:eastAsia="Arial Narrow" w:hAnsi="Arial Narrow" w:cs="Arial Narrow"/>
          <w:color w:val="3C4245"/>
          <w:sz w:val="24"/>
          <w:szCs w:val="24"/>
        </w:rPr>
      </w:pPr>
      <w:r>
        <w:rPr>
          <w:rFonts w:ascii="Arial Narrow" w:hAnsi="Arial Narrow"/>
          <w:b/>
          <w:bCs/>
          <w:color w:val="3C4245"/>
          <w:sz w:val="24"/>
          <w:szCs w:val="24"/>
        </w:rPr>
        <w:t>Bibliografie</w:t>
      </w:r>
    </w:p>
    <w:p w:rsidR="00003390" w:rsidRDefault="001F0F7A" w:rsidP="004E0E61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  <w:color w:val="008DC9"/>
          <w:sz w:val="24"/>
          <w:szCs w:val="24"/>
        </w:rPr>
      </w:pPr>
      <w:r>
        <w:rPr>
          <w:rFonts w:ascii="Arial Narrow" w:hAnsi="Arial Narrow"/>
          <w:color w:val="3C4245"/>
          <w:sz w:val="24"/>
          <w:szCs w:val="24"/>
        </w:rPr>
        <w:t>Considera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 xml:space="preserve">ii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>n ajustarea m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 xml:space="preserve">surilor sociale 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>i de s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n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tate public</w:t>
      </w:r>
      <w:r>
        <w:rPr>
          <w:rFonts w:ascii="Arial Narrow" w:hAnsi="Arial Narrow"/>
          <w:color w:val="3C4245"/>
          <w:sz w:val="24"/>
          <w:szCs w:val="24"/>
        </w:rPr>
        <w:t>ă î</w:t>
      </w:r>
      <w:r>
        <w:rPr>
          <w:rFonts w:ascii="Arial Narrow" w:hAnsi="Arial Narrow"/>
          <w:color w:val="3C4245"/>
          <w:sz w:val="24"/>
          <w:szCs w:val="24"/>
        </w:rPr>
        <w:t>n contextul COVID-19.</w:t>
      </w:r>
      <w:r>
        <w:rPr>
          <w:rFonts w:ascii="Arial Narrow" w:hAnsi="Arial Narrow"/>
          <w:color w:val="3C4245"/>
          <w:sz w:val="24"/>
          <w:szCs w:val="24"/>
        </w:rPr>
        <w:t> </w:t>
      </w:r>
      <w:hyperlink r:id="rId7" w:history="1">
        <w:r>
          <w:rPr>
            <w:rStyle w:val="Hyperlink0"/>
            <w:rFonts w:ascii="Arial Narrow" w:hAnsi="Arial Narrow"/>
            <w:color w:val="008DC9"/>
            <w:sz w:val="24"/>
            <w:szCs w:val="24"/>
            <w:lang w:val="en-US"/>
          </w:rPr>
          <w:t>https://www.who.int/emergencies/diseases/novel-coronavirus-2019/technical-guidance/critical-preparedness-re</w:t>
        </w:r>
        <w:r>
          <w:rPr>
            <w:rStyle w:val="Hyperlink0"/>
            <w:rFonts w:ascii="Arial Narrow" w:hAnsi="Arial Narrow"/>
            <w:color w:val="008DC9"/>
            <w:sz w:val="24"/>
            <w:szCs w:val="24"/>
            <w:lang w:val="en-US"/>
          </w:rPr>
          <w:t>adiness-and-response-actions-for-covid-19</w:t>
        </w:r>
      </w:hyperlink>
      <w:r>
        <w:rPr>
          <w:rFonts w:ascii="Arial Narrow" w:hAnsi="Arial Narrow"/>
          <w:color w:val="3C4245"/>
          <w:sz w:val="24"/>
          <w:szCs w:val="24"/>
        </w:rPr>
        <w:t> </w:t>
      </w:r>
    </w:p>
    <w:p w:rsidR="00003390" w:rsidRDefault="001F0F7A" w:rsidP="004E0E61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  <w:color w:val="3C4245"/>
          <w:sz w:val="24"/>
          <w:szCs w:val="24"/>
          <w:lang w:val="de-DE"/>
        </w:rPr>
      </w:pPr>
      <w:r>
        <w:rPr>
          <w:rFonts w:ascii="Arial Narrow" w:hAnsi="Arial Narrow"/>
          <w:color w:val="3C4245"/>
          <w:sz w:val="24"/>
          <w:szCs w:val="24"/>
          <w:lang w:val="de-DE"/>
        </w:rPr>
        <w:t>W</w:t>
      </w:r>
      <w:r>
        <w:rPr>
          <w:rFonts w:ascii="Arial Narrow" w:hAnsi="Arial Narrow"/>
          <w:color w:val="3C4245"/>
          <w:sz w:val="24"/>
          <w:szCs w:val="24"/>
          <w:lang w:val="sv-SE"/>
        </w:rPr>
        <w:t>ö</w:t>
      </w:r>
      <w:r>
        <w:rPr>
          <w:rFonts w:ascii="Arial Narrow" w:hAnsi="Arial Narrow"/>
          <w:color w:val="3C4245"/>
          <w:sz w:val="24"/>
          <w:szCs w:val="24"/>
          <w:lang w:val="en-US"/>
        </w:rPr>
        <w:t>lfel R, Corman VM, Guggemos W, et al. Virological assessment of hospitalized patients with COVID-2019. Nature 2020.</w:t>
      </w:r>
      <w:r>
        <w:rPr>
          <w:rFonts w:ascii="Arial Narrow" w:hAnsi="Arial Narrow"/>
          <w:color w:val="3C4245"/>
          <w:sz w:val="24"/>
          <w:szCs w:val="24"/>
        </w:rPr>
        <w:t> </w:t>
      </w:r>
    </w:p>
    <w:p w:rsidR="00003390" w:rsidRDefault="001F0F7A" w:rsidP="004E0E61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  <w:color w:val="3C4245"/>
          <w:sz w:val="24"/>
          <w:szCs w:val="24"/>
          <w:lang w:val="en-US"/>
        </w:rPr>
      </w:pPr>
      <w:r>
        <w:rPr>
          <w:rFonts w:ascii="Arial Narrow" w:hAnsi="Arial Narrow"/>
          <w:color w:val="3C4245"/>
          <w:sz w:val="24"/>
          <w:szCs w:val="24"/>
          <w:lang w:val="en-US"/>
        </w:rPr>
        <w:t xml:space="preserve">To KK, Tsang OT, Leung WS, et al. Temporal profiles of viral load in posterior </w:t>
      </w:r>
      <w:r>
        <w:rPr>
          <w:rFonts w:ascii="Arial Narrow" w:hAnsi="Arial Narrow"/>
          <w:color w:val="3C4245"/>
          <w:sz w:val="24"/>
          <w:szCs w:val="24"/>
          <w:lang w:val="en-US"/>
        </w:rPr>
        <w:t>oropharyngeal saliva samples and serum antibody responses during infection by SARS-CoV-2: an observational cohort study. Lancet Infect Dis. 2020 Mar 23. pii: S1473-3099(20)30196-1. doi: 10.1016/S1473-3099(20)30196-1.</w:t>
      </w:r>
      <w:r>
        <w:rPr>
          <w:rFonts w:ascii="Arial Narrow" w:hAnsi="Arial Narrow"/>
          <w:color w:val="3C4245"/>
          <w:sz w:val="24"/>
          <w:szCs w:val="24"/>
        </w:rPr>
        <w:t> </w:t>
      </w:r>
    </w:p>
    <w:p w:rsidR="00003390" w:rsidRDefault="001F0F7A" w:rsidP="004E0E61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  <w:color w:val="3C4245"/>
          <w:sz w:val="24"/>
          <w:szCs w:val="24"/>
          <w:lang w:val="en-US"/>
        </w:rPr>
      </w:pPr>
      <w:r>
        <w:rPr>
          <w:rFonts w:ascii="Arial Narrow" w:hAnsi="Arial Narrow"/>
          <w:color w:val="3C4245"/>
          <w:sz w:val="24"/>
          <w:szCs w:val="24"/>
          <w:lang w:val="en-US"/>
        </w:rPr>
        <w:t>Wu F, Wang A, Liu M, et al. Neutralizi</w:t>
      </w:r>
      <w:r>
        <w:rPr>
          <w:rFonts w:ascii="Arial Narrow" w:hAnsi="Arial Narrow"/>
          <w:color w:val="3C4245"/>
          <w:sz w:val="24"/>
          <w:szCs w:val="24"/>
          <w:lang w:val="en-US"/>
        </w:rPr>
        <w:t>ng antibody responses to SARS-CoV-2 in a COVID-19 recovered patient cohort and their implications. medRxiv 2020: 2020.03.30.20047365.</w:t>
      </w:r>
      <w:r>
        <w:rPr>
          <w:rFonts w:ascii="Arial Narrow" w:hAnsi="Arial Narrow"/>
          <w:color w:val="3C4245"/>
          <w:sz w:val="24"/>
          <w:szCs w:val="24"/>
        </w:rPr>
        <w:t> </w:t>
      </w:r>
    </w:p>
    <w:p w:rsidR="00003390" w:rsidRDefault="001F0F7A" w:rsidP="004E0E61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  <w:color w:val="3C4245"/>
          <w:sz w:val="24"/>
          <w:szCs w:val="24"/>
          <w:lang w:val="en-US"/>
        </w:rPr>
      </w:pPr>
      <w:r>
        <w:rPr>
          <w:rFonts w:ascii="Arial Narrow" w:hAnsi="Arial Narrow"/>
          <w:color w:val="3C4245"/>
          <w:sz w:val="24"/>
          <w:szCs w:val="24"/>
          <w:lang w:val="en-US"/>
        </w:rPr>
        <w:t>Ju B, Zhang Q, Ge X, et al. Potent human neutralizing antibodies elicited by SARS-CoV-2 infection. Biorxiv 2020: 2020.03.</w:t>
      </w:r>
      <w:r>
        <w:rPr>
          <w:rFonts w:ascii="Arial Narrow" w:hAnsi="Arial Narrow"/>
          <w:color w:val="3C4245"/>
          <w:sz w:val="24"/>
          <w:szCs w:val="24"/>
          <w:lang w:val="en-US"/>
        </w:rPr>
        <w:t>21.990770.</w:t>
      </w:r>
      <w:r>
        <w:rPr>
          <w:rFonts w:ascii="Arial Narrow" w:hAnsi="Arial Narrow"/>
          <w:color w:val="3C4245"/>
          <w:sz w:val="24"/>
          <w:szCs w:val="24"/>
        </w:rPr>
        <w:t> </w:t>
      </w:r>
    </w:p>
    <w:p w:rsidR="00003390" w:rsidRDefault="001F0F7A" w:rsidP="004E0E61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  <w:color w:val="3C4245"/>
          <w:sz w:val="24"/>
          <w:szCs w:val="24"/>
          <w:lang w:val="en-US"/>
        </w:rPr>
      </w:pPr>
      <w:r>
        <w:rPr>
          <w:rFonts w:ascii="Arial Narrow" w:hAnsi="Arial Narrow"/>
          <w:color w:val="3C4245"/>
          <w:sz w:val="24"/>
          <w:szCs w:val="24"/>
          <w:lang w:val="en-US"/>
        </w:rPr>
        <w:t>Poh CM, Carissimo G, Wang B, et al. Potent neutralizing antibodies in the sera of convalescent COVID-19 patients are directed against conserved linear epitopes on the SARS-CoV-2 spike protein. Biorxiv 2020: 2020.03.30.015461.</w:t>
      </w:r>
      <w:r>
        <w:rPr>
          <w:rFonts w:ascii="Arial Narrow" w:hAnsi="Arial Narrow"/>
          <w:color w:val="3C4245"/>
          <w:sz w:val="24"/>
          <w:szCs w:val="24"/>
        </w:rPr>
        <w:t> </w:t>
      </w:r>
    </w:p>
    <w:p w:rsidR="00003390" w:rsidRDefault="001F0F7A" w:rsidP="004E0E61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  <w:color w:val="3C4245"/>
          <w:sz w:val="24"/>
          <w:szCs w:val="24"/>
          <w:lang w:val="en-US"/>
        </w:rPr>
      </w:pPr>
      <w:r>
        <w:rPr>
          <w:rFonts w:ascii="Arial Narrow" w:hAnsi="Arial Narrow"/>
          <w:color w:val="3C4245"/>
          <w:sz w:val="24"/>
          <w:szCs w:val="24"/>
          <w:lang w:val="en-US"/>
        </w:rPr>
        <w:t>Zhang W, Du R, Li</w:t>
      </w:r>
      <w:r>
        <w:rPr>
          <w:rFonts w:ascii="Arial Narrow" w:hAnsi="Arial Narrow"/>
          <w:color w:val="3C4245"/>
          <w:sz w:val="24"/>
          <w:szCs w:val="24"/>
          <w:lang w:val="en-US"/>
        </w:rPr>
        <w:t xml:space="preserve"> B, Zheng X, et al. Molecular and serological investigation of 2019-nCoV infected patients: implication of multiple shedding routes. Emerg Microbes Infect. 2020 Feb 17; 9(1):386-389. doi: 10.1080/22221751.2020.1729071.</w:t>
      </w:r>
      <w:r>
        <w:rPr>
          <w:rFonts w:ascii="Arial Narrow" w:hAnsi="Arial Narrow"/>
          <w:color w:val="3C4245"/>
          <w:sz w:val="24"/>
          <w:szCs w:val="24"/>
        </w:rPr>
        <w:t> </w:t>
      </w:r>
    </w:p>
    <w:p w:rsidR="00003390" w:rsidRDefault="001F0F7A" w:rsidP="004E0E61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  <w:color w:val="3C4245"/>
          <w:sz w:val="24"/>
          <w:szCs w:val="24"/>
          <w:lang w:val="en-US"/>
        </w:rPr>
      </w:pPr>
      <w:r>
        <w:rPr>
          <w:rFonts w:ascii="Arial Narrow" w:hAnsi="Arial Narrow"/>
          <w:color w:val="3C4245"/>
          <w:sz w:val="24"/>
          <w:szCs w:val="24"/>
          <w:lang w:val="en-US"/>
        </w:rPr>
        <w:t>Grzelak L, Temmam L, Planchais C, et</w:t>
      </w:r>
      <w:r>
        <w:rPr>
          <w:rFonts w:ascii="Arial Narrow" w:hAnsi="Arial Narrow"/>
          <w:color w:val="3C4245"/>
          <w:sz w:val="24"/>
          <w:szCs w:val="24"/>
          <w:lang w:val="en-US"/>
        </w:rPr>
        <w:t xml:space="preserve"> al. SARS-CoV-2 serological analysis of COVID-19 hospitalized patients, pauci-symptomatic individuals and blood donors. medRxiv 2020 (submitted 17 April 2020).</w:t>
      </w:r>
      <w:r>
        <w:rPr>
          <w:rFonts w:ascii="Arial Narrow" w:hAnsi="Arial Narrow"/>
          <w:color w:val="3C4245"/>
          <w:sz w:val="24"/>
          <w:szCs w:val="24"/>
        </w:rPr>
        <w:t> </w:t>
      </w:r>
    </w:p>
    <w:p w:rsidR="00003390" w:rsidRDefault="001F0F7A" w:rsidP="004E0E61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  <w:color w:val="3C4245"/>
          <w:sz w:val="24"/>
          <w:szCs w:val="24"/>
          <w:lang w:val="en-US"/>
        </w:rPr>
      </w:pPr>
      <w:r>
        <w:rPr>
          <w:rFonts w:ascii="Arial Narrow" w:hAnsi="Arial Narrow"/>
          <w:color w:val="3C4245"/>
          <w:sz w:val="24"/>
          <w:szCs w:val="24"/>
          <w:lang w:val="en-US"/>
        </w:rPr>
        <w:t>Amanat F, Nguyen T, Chromikova V, et al. A serological assay to detect SARS-CoV-2 seroconversio</w:t>
      </w:r>
      <w:r>
        <w:rPr>
          <w:rFonts w:ascii="Arial Narrow" w:hAnsi="Arial Narrow"/>
          <w:color w:val="3C4245"/>
          <w:sz w:val="24"/>
          <w:szCs w:val="24"/>
          <w:lang w:val="en-US"/>
        </w:rPr>
        <w:t>n in humans. medRxiv 2020: 2020.03.17.20037713.</w:t>
      </w:r>
      <w:r>
        <w:rPr>
          <w:rFonts w:ascii="Arial Narrow" w:hAnsi="Arial Narrow"/>
          <w:color w:val="3C4245"/>
          <w:sz w:val="24"/>
          <w:szCs w:val="24"/>
        </w:rPr>
        <w:t> </w:t>
      </w:r>
    </w:p>
    <w:p w:rsidR="00003390" w:rsidRDefault="001F0F7A" w:rsidP="004E0E61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  <w:color w:val="3C4245"/>
          <w:sz w:val="24"/>
          <w:szCs w:val="24"/>
          <w:lang w:val="de-DE"/>
        </w:rPr>
      </w:pPr>
      <w:r>
        <w:rPr>
          <w:rFonts w:ascii="Arial Narrow" w:hAnsi="Arial Narrow"/>
          <w:color w:val="3C4245"/>
          <w:sz w:val="24"/>
          <w:szCs w:val="24"/>
          <w:lang w:val="de-DE"/>
        </w:rPr>
        <w:t>Okba NMA, M</w:t>
      </w:r>
      <w:r>
        <w:rPr>
          <w:rFonts w:ascii="Arial Narrow" w:hAnsi="Arial Narrow"/>
          <w:color w:val="3C4245"/>
          <w:sz w:val="24"/>
          <w:szCs w:val="24"/>
        </w:rPr>
        <w:t>ü</w:t>
      </w:r>
      <w:r>
        <w:rPr>
          <w:rFonts w:ascii="Arial Narrow" w:hAnsi="Arial Narrow"/>
          <w:color w:val="3C4245"/>
          <w:sz w:val="24"/>
          <w:szCs w:val="24"/>
          <w:lang w:val="en-US"/>
        </w:rPr>
        <w:t>ller MA, Li W, et al. Severe acute respiratory syndrome coronavirus 2</w:t>
      </w:r>
      <w:r>
        <w:rPr>
          <w:rFonts w:ascii="Arial Narrow" w:hAnsi="Arial Narrow"/>
          <w:color w:val="3C4245"/>
          <w:sz w:val="24"/>
          <w:szCs w:val="24"/>
        </w:rPr>
        <w:t>−</w:t>
      </w:r>
      <w:r>
        <w:rPr>
          <w:rFonts w:ascii="Arial Narrow" w:hAnsi="Arial Narrow"/>
          <w:color w:val="3C4245"/>
          <w:sz w:val="24"/>
          <w:szCs w:val="24"/>
          <w:lang w:val="en-US"/>
        </w:rPr>
        <w:t>specific antibody responses in coronavirus disease 2019 patients. Emerg Infect Dis. 2020 doi: 10.3201/eid2607.200841</w:t>
      </w:r>
      <w:r>
        <w:rPr>
          <w:rFonts w:ascii="Arial Narrow" w:hAnsi="Arial Narrow"/>
          <w:color w:val="3C4245"/>
          <w:sz w:val="24"/>
          <w:szCs w:val="24"/>
        </w:rPr>
        <w:t> </w:t>
      </w:r>
    </w:p>
    <w:p w:rsidR="00003390" w:rsidRDefault="001F0F7A" w:rsidP="004E0E61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  <w:color w:val="3C4245"/>
          <w:sz w:val="24"/>
          <w:szCs w:val="24"/>
          <w:lang w:val="en-US"/>
        </w:rPr>
      </w:pPr>
      <w:r>
        <w:rPr>
          <w:rFonts w:ascii="Arial Narrow" w:hAnsi="Arial Narrow"/>
          <w:color w:val="3C4245"/>
          <w:sz w:val="24"/>
          <w:szCs w:val="24"/>
          <w:lang w:val="en-US"/>
        </w:rPr>
        <w:t>Zhao J,</w:t>
      </w:r>
      <w:r>
        <w:rPr>
          <w:rFonts w:ascii="Arial Narrow" w:hAnsi="Arial Narrow"/>
          <w:color w:val="3C4245"/>
          <w:sz w:val="24"/>
          <w:szCs w:val="24"/>
          <w:lang w:val="en-US"/>
        </w:rPr>
        <w:t xml:space="preserve"> Yuan Q, Wang H, et al. Antibody responses to SARS-CoV-2 in patients of novel coronavirus disease 2019. Clin Infect Dis. 2020 doi: 10.1093/cid/ciaa344</w:t>
      </w:r>
      <w:r>
        <w:rPr>
          <w:rFonts w:ascii="Arial Narrow" w:hAnsi="Arial Narrow"/>
          <w:color w:val="3C4245"/>
          <w:sz w:val="24"/>
          <w:szCs w:val="24"/>
        </w:rPr>
        <w:t> </w:t>
      </w:r>
    </w:p>
    <w:p w:rsidR="00003390" w:rsidRDefault="001F0F7A" w:rsidP="004E0E61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  <w:color w:val="3C4245"/>
          <w:sz w:val="24"/>
          <w:szCs w:val="24"/>
          <w:lang w:val="en-US"/>
        </w:rPr>
      </w:pPr>
      <w:r>
        <w:rPr>
          <w:rFonts w:ascii="Arial Narrow" w:hAnsi="Arial Narrow"/>
          <w:color w:val="3C4245"/>
          <w:sz w:val="24"/>
          <w:szCs w:val="24"/>
          <w:lang w:val="en-US"/>
        </w:rPr>
        <w:t>Guo L, Ren L, Yang S, et al. Profiling Early Humoral Response to Diagnose Novel Coronavirus Disease (COV</w:t>
      </w:r>
      <w:r>
        <w:rPr>
          <w:rFonts w:ascii="Arial Narrow" w:hAnsi="Arial Narrow"/>
          <w:color w:val="3C4245"/>
          <w:sz w:val="24"/>
          <w:szCs w:val="24"/>
          <w:lang w:val="en-US"/>
        </w:rPr>
        <w:t>ID-19). Clin Infect Dis. 2020 Mar 21. doi: 10.1093/cid/ciaa310.</w:t>
      </w:r>
      <w:r>
        <w:rPr>
          <w:rFonts w:ascii="Arial Narrow" w:hAnsi="Arial Narrow"/>
          <w:color w:val="3C4245"/>
          <w:sz w:val="24"/>
          <w:szCs w:val="24"/>
        </w:rPr>
        <w:t> </w:t>
      </w:r>
    </w:p>
    <w:p w:rsidR="00003390" w:rsidRDefault="001F0F7A" w:rsidP="004E0E61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  <w:color w:val="3C4245"/>
          <w:sz w:val="24"/>
          <w:szCs w:val="24"/>
          <w:lang w:val="en-US"/>
        </w:rPr>
      </w:pPr>
      <w:r>
        <w:rPr>
          <w:rFonts w:ascii="Arial Narrow" w:hAnsi="Arial Narrow"/>
          <w:color w:val="3C4245"/>
          <w:sz w:val="24"/>
          <w:szCs w:val="24"/>
          <w:lang w:val="en-US"/>
        </w:rPr>
        <w:t>Liu Y, Liu Y, Diao B, Ren Feifei, et al. Diagnostic indexes of a rapid IgG/IgM combined antibody test for SARS-CoV-2. medRxiv 2020; doi: 10.1101/2020.03.26.20044883</w:t>
      </w:r>
      <w:r>
        <w:rPr>
          <w:rFonts w:ascii="Arial Narrow" w:hAnsi="Arial Narrow"/>
          <w:color w:val="3C4245"/>
          <w:sz w:val="24"/>
          <w:szCs w:val="24"/>
        </w:rPr>
        <w:t> </w:t>
      </w:r>
    </w:p>
    <w:p w:rsidR="00003390" w:rsidRDefault="001F0F7A" w:rsidP="004E0E61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  <w:color w:val="3C4245"/>
          <w:sz w:val="24"/>
          <w:szCs w:val="24"/>
          <w:lang w:val="en-US"/>
        </w:rPr>
      </w:pPr>
      <w:r>
        <w:rPr>
          <w:rFonts w:ascii="Arial Narrow" w:hAnsi="Arial Narrow"/>
          <w:color w:val="3C4245"/>
          <w:sz w:val="24"/>
          <w:szCs w:val="24"/>
          <w:lang w:val="en-US"/>
        </w:rPr>
        <w:t xml:space="preserve">Zhang P, Gao Q, Wang T, </w:t>
      </w:r>
      <w:r>
        <w:rPr>
          <w:rFonts w:ascii="Arial Narrow" w:hAnsi="Arial Narrow"/>
          <w:color w:val="3C4245"/>
          <w:sz w:val="24"/>
          <w:szCs w:val="24"/>
          <w:lang w:val="en-US"/>
        </w:rPr>
        <w:t>Ke Y, et al. Evaluation of recombinant nucleocapsid and spie protein serological diagnosis of novel coronavirus disease 2019 (COVID-19). medRxiv. 2020; doi: 10.1101/2020.03.17.20036954</w:t>
      </w:r>
      <w:r>
        <w:rPr>
          <w:rFonts w:ascii="Arial Narrow" w:hAnsi="Arial Narrow"/>
          <w:color w:val="3C4245"/>
          <w:sz w:val="24"/>
          <w:szCs w:val="24"/>
        </w:rPr>
        <w:t> </w:t>
      </w:r>
    </w:p>
    <w:p w:rsidR="00003390" w:rsidRDefault="001F0F7A" w:rsidP="004E0E61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  <w:color w:val="3C4245"/>
          <w:sz w:val="24"/>
          <w:szCs w:val="24"/>
          <w:lang w:val="en-US"/>
        </w:rPr>
      </w:pPr>
      <w:r>
        <w:rPr>
          <w:rFonts w:ascii="Arial Narrow" w:hAnsi="Arial Narrow"/>
          <w:color w:val="3C4245"/>
          <w:sz w:val="24"/>
          <w:szCs w:val="24"/>
          <w:lang w:val="en-US"/>
        </w:rPr>
        <w:t>Pan Y, Li X, Yang G, Fan J, et al. Serological immunochromatographic a</w:t>
      </w:r>
      <w:r>
        <w:rPr>
          <w:rFonts w:ascii="Arial Narrow" w:hAnsi="Arial Narrow"/>
          <w:color w:val="3C4245"/>
          <w:sz w:val="24"/>
          <w:szCs w:val="24"/>
          <w:lang w:val="en-US"/>
        </w:rPr>
        <w:t>pproach in diagnosis with SARS-CoV-2 infected COVID-19 patients. medRxiv. 2020; doi: 10.1101/2020.03.13.20035428</w:t>
      </w:r>
      <w:r>
        <w:rPr>
          <w:rFonts w:ascii="Arial Narrow" w:hAnsi="Arial Narrow"/>
          <w:color w:val="3C4245"/>
          <w:sz w:val="24"/>
          <w:szCs w:val="24"/>
        </w:rPr>
        <w:t> </w:t>
      </w:r>
    </w:p>
    <w:p w:rsidR="00003390" w:rsidRDefault="001F0F7A" w:rsidP="004E0E61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  <w:color w:val="3C4245"/>
          <w:sz w:val="24"/>
          <w:szCs w:val="24"/>
          <w:lang w:val="en-US"/>
        </w:rPr>
      </w:pPr>
      <w:r>
        <w:rPr>
          <w:rFonts w:ascii="Arial Narrow" w:hAnsi="Arial Narrow"/>
          <w:color w:val="3C4245"/>
          <w:sz w:val="24"/>
          <w:szCs w:val="24"/>
          <w:lang w:val="en-US"/>
        </w:rPr>
        <w:t>Li Z, Yi Y, Luo X, Xion N, et al. Development and clinical application of a rapid IgM-IgG combined antibody test for SARS-CoV-2 infection diag</w:t>
      </w:r>
      <w:r>
        <w:rPr>
          <w:rFonts w:ascii="Arial Narrow" w:hAnsi="Arial Narrow"/>
          <w:color w:val="3C4245"/>
          <w:sz w:val="24"/>
          <w:szCs w:val="24"/>
          <w:lang w:val="en-US"/>
        </w:rPr>
        <w:t>nosis. J Med Virol. 2020 Feb 27. doi: 10.1002/jmv.25727.</w:t>
      </w:r>
      <w:r>
        <w:rPr>
          <w:rFonts w:ascii="Arial Narrow" w:hAnsi="Arial Narrow"/>
          <w:color w:val="3C4245"/>
          <w:sz w:val="24"/>
          <w:szCs w:val="24"/>
        </w:rPr>
        <w:t> </w:t>
      </w:r>
    </w:p>
    <w:p w:rsidR="00003390" w:rsidRDefault="001F0F7A" w:rsidP="004E0E61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  <w:color w:val="3C4245"/>
          <w:sz w:val="24"/>
          <w:szCs w:val="24"/>
          <w:lang w:val="en-US"/>
        </w:rPr>
      </w:pPr>
      <w:r>
        <w:rPr>
          <w:rFonts w:ascii="Arial Narrow" w:hAnsi="Arial Narrow"/>
          <w:color w:val="3C4245"/>
          <w:sz w:val="24"/>
          <w:szCs w:val="24"/>
          <w:lang w:val="en-US"/>
        </w:rPr>
        <w:t>Li R, Pei S, Chen B, et al. Substantial undocumented infection facilitates the rapid dissemination of novel coronavirus (SARS-CoV2). Science 2020.</w:t>
      </w:r>
      <w:r>
        <w:rPr>
          <w:rFonts w:ascii="Arial Narrow" w:hAnsi="Arial Narrow"/>
          <w:color w:val="3C4245"/>
          <w:sz w:val="24"/>
          <w:szCs w:val="24"/>
        </w:rPr>
        <w:t> </w:t>
      </w:r>
    </w:p>
    <w:p w:rsidR="00003390" w:rsidRDefault="001F0F7A" w:rsidP="004E0E61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  <w:color w:val="3C4245"/>
          <w:sz w:val="24"/>
          <w:szCs w:val="24"/>
          <w:lang w:val="en-US"/>
        </w:rPr>
      </w:pPr>
      <w:r>
        <w:rPr>
          <w:rFonts w:ascii="Arial Narrow" w:hAnsi="Arial Narrow"/>
          <w:color w:val="3C4245"/>
          <w:sz w:val="24"/>
          <w:szCs w:val="24"/>
          <w:lang w:val="en-US"/>
        </w:rPr>
        <w:lastRenderedPageBreak/>
        <w:t>Lou B, Li T, Zheng S, Su Y, Li Z, Liu W, et al. Se</w:t>
      </w:r>
      <w:r>
        <w:rPr>
          <w:rFonts w:ascii="Arial Narrow" w:hAnsi="Arial Narrow"/>
          <w:color w:val="3C4245"/>
          <w:sz w:val="24"/>
          <w:szCs w:val="24"/>
          <w:lang w:val="en-US"/>
        </w:rPr>
        <w:t>rology characteristics of SARS-CoV-2 infection since the exposure and post symptoms onset. medRxiv 2020; doi: 10.1101/2020.03.23.20041707</w:t>
      </w:r>
      <w:r>
        <w:rPr>
          <w:rFonts w:ascii="Arial Narrow" w:hAnsi="Arial Narrow"/>
          <w:color w:val="3C4245"/>
          <w:sz w:val="24"/>
          <w:szCs w:val="24"/>
        </w:rPr>
        <w:t> </w:t>
      </w:r>
    </w:p>
    <w:p w:rsidR="00003390" w:rsidRDefault="001F0F7A" w:rsidP="004E0E61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  <w:color w:val="3C4245"/>
          <w:sz w:val="24"/>
          <w:szCs w:val="24"/>
          <w:lang w:val="en-US"/>
        </w:rPr>
      </w:pPr>
      <w:r>
        <w:rPr>
          <w:rFonts w:ascii="Arial Narrow" w:hAnsi="Arial Narrow"/>
          <w:color w:val="3C4245"/>
          <w:sz w:val="24"/>
          <w:szCs w:val="24"/>
          <w:lang w:val="en-US"/>
        </w:rPr>
        <w:t>Lin D, Liu L, Zhang M, Hu Y, et al. Evaluation of serological tests in the diagnosis of 2019 novel coronavirus (SARS-</w:t>
      </w:r>
      <w:r>
        <w:rPr>
          <w:rFonts w:ascii="Arial Narrow" w:hAnsi="Arial Narrow"/>
          <w:color w:val="3C4245"/>
          <w:sz w:val="24"/>
          <w:szCs w:val="24"/>
          <w:lang w:val="en-US"/>
        </w:rPr>
        <w:t>CoV-2) infections during the COVID-19 outbreak. medRxiv 2020. doi: 10.1101/2020.03.27.20045153</w:t>
      </w:r>
      <w:r>
        <w:rPr>
          <w:rFonts w:ascii="Arial Narrow" w:hAnsi="Arial Narrow"/>
          <w:color w:val="3C4245"/>
          <w:sz w:val="24"/>
          <w:szCs w:val="24"/>
        </w:rPr>
        <w:t> </w:t>
      </w:r>
    </w:p>
    <w:p w:rsidR="00003390" w:rsidRDefault="001F0F7A" w:rsidP="004E0E61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  <w:color w:val="3C4245"/>
          <w:sz w:val="24"/>
          <w:szCs w:val="24"/>
          <w:lang w:val="en-US"/>
        </w:rPr>
      </w:pPr>
      <w:r>
        <w:rPr>
          <w:rFonts w:ascii="Arial Narrow" w:hAnsi="Arial Narrow"/>
          <w:color w:val="3C4245"/>
          <w:sz w:val="24"/>
          <w:szCs w:val="24"/>
          <w:lang w:val="en-US"/>
        </w:rPr>
        <w:t xml:space="preserve">Liu W, Liu L, Kou G, Zheng Y, et al. Evaluation of nucleocapsid and spike protein-based ELISAs for detecting antibodies against SARS-CoV-2. medxriv [Internet]. </w:t>
      </w:r>
      <w:r>
        <w:rPr>
          <w:rFonts w:ascii="Arial Narrow" w:hAnsi="Arial Narrow"/>
          <w:color w:val="3C4245"/>
          <w:sz w:val="24"/>
          <w:szCs w:val="24"/>
          <w:lang w:val="en-US"/>
        </w:rPr>
        <w:t>2020; Available from: https://doi.org/10.1101/2020.03.16.20035014 medRxiv preprint</w:t>
      </w:r>
      <w:r>
        <w:rPr>
          <w:rFonts w:ascii="Arial Narrow" w:hAnsi="Arial Narrow"/>
          <w:color w:val="3C4245"/>
          <w:sz w:val="24"/>
          <w:szCs w:val="24"/>
        </w:rPr>
        <w:t> </w:t>
      </w:r>
    </w:p>
    <w:p w:rsidR="00003390" w:rsidRDefault="001F0F7A" w:rsidP="004E0E61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  <w:color w:val="008DC9"/>
          <w:sz w:val="24"/>
          <w:szCs w:val="24"/>
          <w:lang w:val="en-US"/>
        </w:rPr>
      </w:pPr>
      <w:r>
        <w:rPr>
          <w:rFonts w:ascii="Arial Narrow" w:hAnsi="Arial Narrow"/>
          <w:color w:val="3C4245"/>
          <w:sz w:val="24"/>
          <w:szCs w:val="24"/>
          <w:lang w:val="en-US"/>
        </w:rPr>
        <w:t>Unity Studies: Early Investigation Protocols</w:t>
      </w:r>
      <w:r>
        <w:rPr>
          <w:rFonts w:ascii="Arial Narrow" w:hAnsi="Arial Narrow"/>
          <w:color w:val="3C4245"/>
          <w:sz w:val="24"/>
          <w:szCs w:val="24"/>
        </w:rPr>
        <w:t> </w:t>
      </w:r>
      <w:hyperlink r:id="rId8" w:history="1">
        <w:r>
          <w:rPr>
            <w:rStyle w:val="Hyperlink0"/>
            <w:rFonts w:ascii="Arial Narrow" w:hAnsi="Arial Narrow"/>
            <w:color w:val="008DC9"/>
            <w:sz w:val="24"/>
            <w:szCs w:val="24"/>
            <w:lang w:val="en-US"/>
          </w:rPr>
          <w:t>https://www</w:t>
        </w:r>
        <w:r>
          <w:rPr>
            <w:rStyle w:val="Hyperlink0"/>
            <w:rFonts w:ascii="Arial Narrow" w:hAnsi="Arial Narrow"/>
            <w:color w:val="008DC9"/>
            <w:sz w:val="24"/>
            <w:szCs w:val="24"/>
            <w:lang w:val="en-US"/>
          </w:rPr>
          <w:t>.who.int/emergencies/diseases/novel-coronavirus-2019/technical-guidance/early-investigations</w:t>
        </w:r>
      </w:hyperlink>
      <w:r>
        <w:rPr>
          <w:rFonts w:ascii="Arial Narrow" w:hAnsi="Arial Narrow"/>
          <w:color w:val="3C4245"/>
          <w:sz w:val="24"/>
          <w:szCs w:val="24"/>
        </w:rPr>
        <w:t> </w:t>
      </w:r>
    </w:p>
    <w:p w:rsidR="00003390" w:rsidRDefault="001F0F7A" w:rsidP="004E0E61">
      <w:pPr>
        <w:pStyle w:val="Default"/>
        <w:spacing w:after="120"/>
        <w:jc w:val="both"/>
        <w:rPr>
          <w:rFonts w:hint="eastAsia"/>
        </w:rPr>
      </w:pPr>
      <w:r>
        <w:rPr>
          <w:rFonts w:ascii="Arial Narrow" w:hAnsi="Arial Narrow"/>
          <w:color w:val="3C4245"/>
          <w:sz w:val="24"/>
          <w:szCs w:val="24"/>
          <w:lang w:val="de-DE"/>
        </w:rPr>
        <w:t xml:space="preserve">WHO </w:t>
      </w:r>
      <w:r>
        <w:rPr>
          <w:rFonts w:ascii="Arial Narrow" w:hAnsi="Arial Narrow"/>
          <w:color w:val="3C4245"/>
          <w:sz w:val="24"/>
          <w:szCs w:val="24"/>
        </w:rPr>
        <w:t>continu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s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 xml:space="preserve">moitorizeze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>ndeproape situa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>ia, pentru a fi la zi cu orice modific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ri care pot influen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 xml:space="preserve">a acest ghid intermediar.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 xml:space="preserve">n cazul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>n care oricare dint</w:t>
      </w:r>
      <w:r>
        <w:rPr>
          <w:rFonts w:ascii="Arial Narrow" w:hAnsi="Arial Narrow"/>
          <w:color w:val="3C4245"/>
          <w:sz w:val="24"/>
          <w:szCs w:val="24"/>
        </w:rPr>
        <w:t>re factori se modific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 xml:space="preserve">, OMS va emite o actualizare. </w:t>
      </w:r>
      <w:r>
        <w:rPr>
          <w:rFonts w:ascii="Arial Narrow" w:hAnsi="Arial Narrow"/>
          <w:color w:val="3C4245"/>
          <w:sz w:val="24"/>
          <w:szCs w:val="24"/>
        </w:rPr>
        <w:t>Î</w:t>
      </w:r>
      <w:r>
        <w:rPr>
          <w:rFonts w:ascii="Arial Narrow" w:hAnsi="Arial Narrow"/>
          <w:color w:val="3C4245"/>
          <w:sz w:val="24"/>
          <w:szCs w:val="24"/>
        </w:rPr>
        <w:t xml:space="preserve">n caz contrar, acest rezumat </w:t>
      </w:r>
      <w:r>
        <w:rPr>
          <w:rFonts w:ascii="Arial Narrow" w:hAnsi="Arial Narrow"/>
          <w:color w:val="3C4245"/>
          <w:sz w:val="24"/>
          <w:szCs w:val="24"/>
        </w:rPr>
        <w:t>ș</w:t>
      </w:r>
      <w:r>
        <w:rPr>
          <w:rFonts w:ascii="Arial Narrow" w:hAnsi="Arial Narrow"/>
          <w:color w:val="3C4245"/>
          <w:sz w:val="24"/>
          <w:szCs w:val="24"/>
        </w:rPr>
        <w:t>tiin</w:t>
      </w:r>
      <w:r>
        <w:rPr>
          <w:rFonts w:ascii="Arial Narrow" w:hAnsi="Arial Narrow"/>
          <w:color w:val="3C4245"/>
          <w:sz w:val="24"/>
          <w:szCs w:val="24"/>
        </w:rPr>
        <w:t>ț</w:t>
      </w:r>
      <w:r>
        <w:rPr>
          <w:rFonts w:ascii="Arial Narrow" w:hAnsi="Arial Narrow"/>
          <w:color w:val="3C4245"/>
          <w:sz w:val="24"/>
          <w:szCs w:val="24"/>
        </w:rPr>
        <w:t>ific va expira dup</w:t>
      </w:r>
      <w:r>
        <w:rPr>
          <w:rFonts w:ascii="Arial Narrow" w:hAnsi="Arial Narrow"/>
          <w:color w:val="3C4245"/>
          <w:sz w:val="24"/>
          <w:szCs w:val="24"/>
        </w:rPr>
        <w:t xml:space="preserve">ă </w:t>
      </w:r>
      <w:r>
        <w:rPr>
          <w:rFonts w:ascii="Arial Narrow" w:hAnsi="Arial Narrow"/>
          <w:color w:val="3C4245"/>
          <w:sz w:val="24"/>
          <w:szCs w:val="24"/>
        </w:rPr>
        <w:t>1 an de la data public</w:t>
      </w:r>
      <w:r>
        <w:rPr>
          <w:rFonts w:ascii="Arial Narrow" w:hAnsi="Arial Narrow"/>
          <w:color w:val="3C4245"/>
          <w:sz w:val="24"/>
          <w:szCs w:val="24"/>
        </w:rPr>
        <w:t>ă</w:t>
      </w:r>
      <w:r>
        <w:rPr>
          <w:rFonts w:ascii="Arial Narrow" w:hAnsi="Arial Narrow"/>
          <w:color w:val="3C4245"/>
          <w:sz w:val="24"/>
          <w:szCs w:val="24"/>
        </w:rPr>
        <w:t>rii.</w:t>
      </w:r>
    </w:p>
    <w:sectPr w:rsidR="00003390" w:rsidSect="00003390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F7A" w:rsidRDefault="001F0F7A" w:rsidP="00003390">
      <w:r>
        <w:separator/>
      </w:r>
    </w:p>
  </w:endnote>
  <w:endnote w:type="continuationSeparator" w:id="1">
    <w:p w:rsidR="001F0F7A" w:rsidRDefault="001F0F7A" w:rsidP="00003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90" w:rsidRDefault="0000339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F7A" w:rsidRDefault="001F0F7A" w:rsidP="00003390">
      <w:r>
        <w:separator/>
      </w:r>
    </w:p>
  </w:footnote>
  <w:footnote w:type="continuationSeparator" w:id="1">
    <w:p w:rsidR="001F0F7A" w:rsidRDefault="001F0F7A" w:rsidP="00003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90" w:rsidRDefault="000033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6BB"/>
    <w:multiLevelType w:val="hybridMultilevel"/>
    <w:tmpl w:val="229E8BBA"/>
    <w:numStyleLink w:val="Numbered"/>
  </w:abstractNum>
  <w:abstractNum w:abstractNumId="1">
    <w:nsid w:val="67E1705B"/>
    <w:multiLevelType w:val="hybridMultilevel"/>
    <w:tmpl w:val="229E8BBA"/>
    <w:styleLink w:val="Numbered"/>
    <w:lvl w:ilvl="0" w:tplc="0A6C0CEE">
      <w:start w:val="1"/>
      <w:numFmt w:val="decimal"/>
      <w:lvlText w:val="%1.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4245"/>
        <w:spacing w:val="0"/>
        <w:w w:val="100"/>
        <w:kern w:val="0"/>
        <w:position w:val="0"/>
        <w:highlight w:val="none"/>
        <w:vertAlign w:val="baseline"/>
      </w:rPr>
    </w:lvl>
    <w:lvl w:ilvl="1" w:tplc="5C0E221E">
      <w:start w:val="1"/>
      <w:numFmt w:val="decimal"/>
      <w:lvlText w:val="%2."/>
      <w:lvlJc w:val="left"/>
      <w:pPr>
        <w:ind w:left="81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4245"/>
        <w:spacing w:val="0"/>
        <w:w w:val="100"/>
        <w:kern w:val="0"/>
        <w:position w:val="0"/>
        <w:highlight w:val="none"/>
        <w:vertAlign w:val="baseline"/>
      </w:rPr>
    </w:lvl>
    <w:lvl w:ilvl="2" w:tplc="4392900A">
      <w:start w:val="1"/>
      <w:numFmt w:val="decimal"/>
      <w:lvlText w:val="%3."/>
      <w:lvlJc w:val="left"/>
      <w:pPr>
        <w:ind w:left="103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4245"/>
        <w:spacing w:val="0"/>
        <w:w w:val="100"/>
        <w:kern w:val="0"/>
        <w:position w:val="0"/>
        <w:highlight w:val="none"/>
        <w:vertAlign w:val="baseline"/>
      </w:rPr>
    </w:lvl>
    <w:lvl w:ilvl="3" w:tplc="65D64DCA">
      <w:start w:val="1"/>
      <w:numFmt w:val="decimal"/>
      <w:lvlText w:val="%4."/>
      <w:lvlJc w:val="left"/>
      <w:pPr>
        <w:ind w:left="125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4245"/>
        <w:spacing w:val="0"/>
        <w:w w:val="100"/>
        <w:kern w:val="0"/>
        <w:position w:val="0"/>
        <w:highlight w:val="none"/>
        <w:vertAlign w:val="baseline"/>
      </w:rPr>
    </w:lvl>
    <w:lvl w:ilvl="4" w:tplc="A32A1D4A">
      <w:start w:val="1"/>
      <w:numFmt w:val="decimal"/>
      <w:lvlText w:val="%5."/>
      <w:lvlJc w:val="left"/>
      <w:pPr>
        <w:ind w:left="147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4245"/>
        <w:spacing w:val="0"/>
        <w:w w:val="100"/>
        <w:kern w:val="0"/>
        <w:position w:val="0"/>
        <w:highlight w:val="none"/>
        <w:vertAlign w:val="baseline"/>
      </w:rPr>
    </w:lvl>
    <w:lvl w:ilvl="5" w:tplc="077ED218">
      <w:start w:val="1"/>
      <w:numFmt w:val="decimal"/>
      <w:lvlText w:val="%6."/>
      <w:lvlJc w:val="left"/>
      <w:pPr>
        <w:ind w:left="169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4245"/>
        <w:spacing w:val="0"/>
        <w:w w:val="100"/>
        <w:kern w:val="0"/>
        <w:position w:val="0"/>
        <w:highlight w:val="none"/>
        <w:vertAlign w:val="baseline"/>
      </w:rPr>
    </w:lvl>
    <w:lvl w:ilvl="6" w:tplc="A2623AA4">
      <w:start w:val="1"/>
      <w:numFmt w:val="decimal"/>
      <w:lvlText w:val="%7."/>
      <w:lvlJc w:val="left"/>
      <w:pPr>
        <w:ind w:left="191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4245"/>
        <w:spacing w:val="0"/>
        <w:w w:val="100"/>
        <w:kern w:val="0"/>
        <w:position w:val="0"/>
        <w:highlight w:val="none"/>
        <w:vertAlign w:val="baseline"/>
      </w:rPr>
    </w:lvl>
    <w:lvl w:ilvl="7" w:tplc="33A6F372">
      <w:start w:val="1"/>
      <w:numFmt w:val="decimal"/>
      <w:lvlText w:val="%8."/>
      <w:lvlJc w:val="left"/>
      <w:pPr>
        <w:ind w:left="213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4245"/>
        <w:spacing w:val="0"/>
        <w:w w:val="100"/>
        <w:kern w:val="0"/>
        <w:position w:val="0"/>
        <w:highlight w:val="none"/>
        <w:vertAlign w:val="baseline"/>
      </w:rPr>
    </w:lvl>
    <w:lvl w:ilvl="8" w:tplc="F9B2C392">
      <w:start w:val="1"/>
      <w:numFmt w:val="decimal"/>
      <w:lvlText w:val="%9."/>
      <w:lvlJc w:val="left"/>
      <w:pPr>
        <w:ind w:left="235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4245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3390"/>
    <w:rsid w:val="00003390"/>
    <w:rsid w:val="001F0F7A"/>
    <w:rsid w:val="004E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339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3390"/>
    <w:rPr>
      <w:u w:val="single"/>
    </w:rPr>
  </w:style>
  <w:style w:type="paragraph" w:customStyle="1" w:styleId="Default">
    <w:name w:val="Default"/>
    <w:rsid w:val="00003390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rsid w:val="00003390"/>
    <w:pPr>
      <w:numPr>
        <w:numId w:val="1"/>
      </w:numPr>
    </w:pPr>
  </w:style>
  <w:style w:type="character" w:customStyle="1" w:styleId="Hyperlink0">
    <w:name w:val="Hyperlink.0"/>
    <w:basedOn w:val="Hyperlink"/>
    <w:rsid w:val="00003390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emergencies/diseases/novel-coronavirus-2019/technical-guidance/early-investig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emergencies/diseases/novel-coronavirus-2019/technical-guidance/critical-preparedness-readiness-and-response-actions-for-covid-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7885</Characters>
  <Application>Microsoft Office Word</Application>
  <DocSecurity>0</DocSecurity>
  <Lines>65</Lines>
  <Paragraphs>18</Paragraphs>
  <ScaleCrop>false</ScaleCrop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2020-05-05T05:44:00Z</dcterms:created>
  <dcterms:modified xsi:type="dcterms:W3CDTF">2020-05-05T05:45:00Z</dcterms:modified>
</cp:coreProperties>
</file>